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5" w:rsidRDefault="00A76ED5" w:rsidP="00A76ED5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kern w:val="36"/>
          <w:sz w:val="75"/>
          <w:szCs w:val="75"/>
          <w:lang w:eastAsia="ru-RU"/>
        </w:rPr>
      </w:pPr>
      <w:r w:rsidRPr="00A76ED5">
        <w:rPr>
          <w:rFonts w:ascii="Arial" w:eastAsia="Times New Roman" w:hAnsi="Arial" w:cs="Arial"/>
          <w:b/>
          <w:bCs/>
          <w:kern w:val="36"/>
          <w:sz w:val="75"/>
          <w:szCs w:val="75"/>
          <w:lang w:eastAsia="ru-RU"/>
        </w:rPr>
        <w:t>Инфекции, передаваемые половым путем (ИППП)</w:t>
      </w:r>
    </w:p>
    <w:p w:rsidR="00A76ED5" w:rsidRPr="00A76ED5" w:rsidRDefault="00A76ED5" w:rsidP="00A76ED5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kern w:val="36"/>
          <w:sz w:val="75"/>
          <w:szCs w:val="75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75"/>
          <w:szCs w:val="75"/>
          <w:lang w:eastAsia="ru-RU"/>
        </w:rPr>
        <w:t xml:space="preserve">  </w:t>
      </w:r>
      <w:bookmarkStart w:id="0" w:name="_GoBack"/>
      <w:bookmarkEnd w:id="0"/>
      <w:r w:rsidRPr="00A76ED5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Основные факты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день в мире происходит более 1 миллиона случаев заражения инфекциями, передаваемыми половым путем (ИППП), большинство из которых протекают бессимптомно.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оценкам, каждый год происходит 374 миллиона новых случаев заражения одной из четырех излечимых ИППП – хламидиозом, гонореей, сифилисом или трихомониазом.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лиц с генитальной инфекцией вируса простого герпеса (ВПГ) оценивается на уровне свыше 500 миллионов человек (в возрасте 15–49 лет) (1).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год в результате инфицирования вирусом папилломы человека (ВПЧ) происходит более 311 000 случаев смерти от рака шейки матки (2).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оценкам, в 2016 г. почти 1 миллион беременных были инфицированы сифилисом, что привело </w:t>
      </w:r>
      <w:proofErr w:type="gramStart"/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чем 350 000 случаев неблагоприятного исхода родов (3).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ИППП напрямую сказываются на сексуальном и репродуктивном здоровье, приводят к стигматизации, бесплодию, онкологическим заболеваниям и осложнениям в период беременности, а также повышают риск ВИЧ-инфекции.</w:t>
      </w:r>
    </w:p>
    <w:p w:rsidR="00A76ED5" w:rsidRPr="00A76ED5" w:rsidRDefault="00A76ED5" w:rsidP="00A76ED5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Одним из серьезных факторов, препятствующих сокращению бремени ИППП в мире, является лекарственная устойчивость этих инфекций.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A76ED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Общая информация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Известно, что половым путем, в том числе при вагинальном, анальном и оральном сексе, могут передаваться более 30 различных бактерий, вирусов и паразитов. Некоторые ИППП могут также передаваться от матери ребенку во время беременности, родов и кормления грудью. Наибольшую заболеваемость среди ИППП вызывают восемь патогенов. Из них четыре инфекции — сифилис, гонорея, хламидиоз и трихомониаз — в настоящее время излечимы. Остальные четыре инфекции — гепатит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В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вирус простого герпеса (ВПГ), ВИЧ и вирус папилломы человека (ВПЧ) — имеют вирусную природу и не поддаются излечению.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Кроме того, в последнее время происходят вспышки новых инфекций, которые могут передаваться половым путем, в том числе оспы обезьян, </w:t>
      </w:r>
      <w:proofErr w:type="spellStart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Shigella</w:t>
      </w:r>
      <w:proofErr w:type="spellEnd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 xml:space="preserve"> </w:t>
      </w:r>
      <w:proofErr w:type="spellStart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sonnei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 </w:t>
      </w:r>
      <w:proofErr w:type="spellStart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Neisseria</w:t>
      </w:r>
      <w:proofErr w:type="spellEnd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 xml:space="preserve"> </w:t>
      </w:r>
      <w:proofErr w:type="spellStart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meningitidis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вирусов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Эбола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Зика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а также возвращение ИППП, которым не уделялось достаточно внимания, в частности венерической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лимфогранулемы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 Они дополнительно осложняют оказание надлежащих услуг по профилактике ИППП и борьбе с ними.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A76ED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Масштабы проблемы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ИППП оказывают серьезное негативное воздействие на сексуальное и репродуктивное здоровье во всем мире.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Ежедневно происходит более 1 миллиона случаев заражения ИППП. В 2020 г., по оценкам ВОЗ, 374 миллиона человек заразились одной из четырех ИППП — хламидиозом (129 миллионов), гонореей (82 миллиона), сифилисом (7,1 миллиона) и трихомониазом (156 миллионов). В 2016 г. численность инфицированных генитальным герпесом оценивалась на уровне более 490 миллионов человек; при этом 300 миллионов женщин инфицированы ВПЧ — основной причиной рака шейки матки, а также рака анального канала среди мужчин, практикующих секс с мужчинами. Мировая численность носителей хронического гепатита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В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оценивается на уровне 296 миллионов человек.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Заражение ИППП может иметь серьезные последствия, которые обусловлены не только непосредственным воздействием инфекции.</w:t>
      </w:r>
    </w:p>
    <w:p w:rsidR="00A76ED5" w:rsidRPr="00A76ED5" w:rsidRDefault="00A76ED5" w:rsidP="00A76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Такие ИППП, как герпес, гонорея и сифилис, могут повышать риск заражения ВИЧ.</w:t>
      </w:r>
    </w:p>
    <w:p w:rsidR="00A76ED5" w:rsidRPr="00A76ED5" w:rsidRDefault="00A76ED5" w:rsidP="00A76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Передача ИППП от матери ребенку может приводить к мертворождению, смерти новорожденного, низкой массе тела при рождении и недоношенности, сепсису, неонатальному конъюнктивиту и врожденным аномалиям.</w:t>
      </w:r>
    </w:p>
    <w:p w:rsidR="00A76ED5" w:rsidRPr="00A76ED5" w:rsidRDefault="00A76ED5" w:rsidP="00A76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Инфекция ВПЧ вызывает рак шейки матки и другие онкологические заболевания.</w:t>
      </w:r>
    </w:p>
    <w:p w:rsidR="00A76ED5" w:rsidRPr="00A76ED5" w:rsidRDefault="00A76ED5" w:rsidP="00A76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Согласно оценкам, в 2019 г. в результате инфицирования гепатитом B умерло 820 000 человек, непосредственной причиной смерти большинства из которых стали цирроз и гепатоцеллюлярная карцинома. Такие ИППП, как гонорея и хламидиоз, являются ведущими причинами воспалительных заболеваний органов малого таза и бесплодия у женщин.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A76ED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Профилактика ИППП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Одним из самых эффективных методов защиты от ИППП, включая ВИЧ, являются презервативы при условии их правильного и систематического применения. Презервативы, несмотря на высокую эффективность, не защищают от ИППП,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вызывающих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экстрагенитальные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язвенные поражения (т.е. от сифилиса или генитального герпеса). Презервативы следует по возможности использовать при любом вагинальном и анальном половом контакте.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Против двух вирусных ИППП — гепатита B и ВПЧ — имеются безопасные и высокоэффективные вакцины. Их появление стало важным шагом вперед в области профилактики ИППП. По состоянию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 конец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2020 г. вакцина против ВПЧ применялась в рамках программ плановой иммунизации в 111 странах, </w:t>
      </w: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большинство из которых составляли страны с высоким и средним уровнем дохода. Для элиминации рака шейки матки как проблемы общественного здравоохранения во всем мире необходимо к 2030 г. выйти на высокие целевые показатели охвата вакцинацией против ВПЧ, диагностики и лечения предраковых поражений и ведения онкологических заболеваний, а затем поддерживать их на этом высоком уровне в течение десятилетий.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Достигнуты существенные успехи в разработке вакцин против генитального герпеса и ВИЧ, и ряд вакцин-кандидатов уже находятся на ранних этапах клинических исследований. Появляется все больше данных о том, что вакцина для профилактики менингита (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MenB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 может одновременно защищать от гонореи. Для разработки вакцин против хламидиоза, гонореи, сифилиса и трихомониаза требуются дополнительные исследования.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К другим биомедицинским мерам профилактики некоторых ИППП относятся добровольное медицинское обрезание у взрослых мужчин, использование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микробиоцидов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прохождение лечения партнерами. Продолжаются исследования, призванные оценить преимущества и потенциальную безопасность средств д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о-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постконтактной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профилактики ИППП с учетом фактора устойчивости к противомикробным препаратам (УПП).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A76ED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Диагностика ИППП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ИППП часто протекают бессимптомно. Возникающие симптомы могут иметь неспецифичный характер. При этом для лабораторных исследований используются только образцы крови, мочи или биологического материала. Как минимум в трех анатомических областях может локализоваться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возбудитель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по меньшей мере одной из ИППП. Это зависит от пола пациента и степени риска при сексуальном контакте. По этой причине зачастую не удается установить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конкретную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ИППП, и пациент нередко получает лечение по поводу двух или более ИППП.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 странах с высоким уровнем дохода широко применяются точные диагностические тесты на ИППП (с использованием молекулярных технологий). Они имеют особенно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важное значение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для диагностики бессимптомных инфекций. Вместе с тем подобные тесты, предназначенные для диагностики хламидиоза и гонореи, как правило, недоступны в странах с низким и средним уровнем дохода (СНСД). Даже в странах, в которых они имеются, тестирование нередко является дорогостоящим и не получило широкого распространения. Применение таких тестов нередко осложняется длительным временем ожидания результатов. Это может затруднять последующее ведение пациента и приводить к предоставлению медицинской помощи или лечения в неполном объеме.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 другой стороны, имеются недорогие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экспресс-тесты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на сифилис, гепатит B и ВИЧ. В условиях ограниченных ресурсов нередко используются экспресс-тест на сифилис и двойной экспресс-тест на ВИЧ/сифилис.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Разрабатывается ряд других 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экспресс-тестов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которые могут повысить эффективность диагностики и лечения ИППП, особенно в условиях нехватки ресурсов.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A76ED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lastRenderedPageBreak/>
        <w:t>Лечение ИППП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настоящее время имеются эффективные средства для лечения некоторых ИППП.</w:t>
      </w:r>
    </w:p>
    <w:p w:rsidR="00A76ED5" w:rsidRPr="00A76ED5" w:rsidRDefault="00A76ED5" w:rsidP="00A76E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Три бактериальные ИППП (хламидиоз, гонорея и сифилис) и одна паразитическая ИППП (трихомониаз) в большинстве случаев излечимы при помощи существующих схем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однодозового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приема антибиотиков.</w:t>
      </w:r>
    </w:p>
    <w:p w:rsidR="00A76ED5" w:rsidRPr="00A76ED5" w:rsidRDefault="00A76ED5" w:rsidP="00A76E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отношении герпеса и ВИЧ самыми эффективными из имеющихся медикаментов являются антиретровирусные препараты, которые способны контролировать течение болезни, не обеспечивая, однако, полного излечения.</w:t>
      </w:r>
    </w:p>
    <w:p w:rsidR="00A76ED5" w:rsidRPr="00A76ED5" w:rsidRDefault="00A76ED5" w:rsidP="00A76E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Противовирусные препараты для терапии гепатита</w:t>
      </w:r>
      <w:proofErr w:type="gram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</w:t>
      </w:r>
      <w:proofErr w:type="gram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способствуют угнетению вируса и замедлению поражения печени.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последние годы растет устойчивость ИППП, в частности гонореи, к противомикробным препаратам, и это сужает спектр вариантов лечения. В рамках </w:t>
      </w:r>
      <w:hyperlink r:id="rId6" w:history="1">
        <w:r w:rsidRPr="00A76E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Программы по </w:t>
        </w:r>
        <w:proofErr w:type="spellStart"/>
        <w:r w:rsidRPr="00A76E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эпиднадзору</w:t>
        </w:r>
        <w:proofErr w:type="spellEnd"/>
        <w:r w:rsidRPr="00A76E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за устойчивостью гонококка к противомикробным препаратам (GASP)</w:t>
        </w:r>
      </w:hyperlink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 выявлены высокие показатели устойчивости инфекции ко многим антибиотикам, включая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хинолон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proofErr w:type="spellStart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азитромицин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цефалоспорины расширенного спектра, которые являются препаратами «последней линии </w:t>
      </w:r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(4)</w:t>
      </w: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A76ED5" w:rsidRPr="00A76ED5" w:rsidRDefault="00A76ED5" w:rsidP="00A76E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Устойчивость к противомикробным препаратам иногда, хотя и реже, наблюдается у возбудителей других ИППП, таких как </w:t>
      </w:r>
      <w:proofErr w:type="spellStart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Mycoplasma</w:t>
      </w:r>
      <w:proofErr w:type="spellEnd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 xml:space="preserve"> </w:t>
      </w:r>
      <w:proofErr w:type="spellStart"/>
      <w:r w:rsidRPr="00A76ED5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genitalium</w:t>
      </w:r>
      <w:proofErr w:type="spellEnd"/>
      <w:r w:rsidRPr="00A76ED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3E4616" w:rsidRDefault="003E4616"/>
    <w:sectPr w:rsidR="003E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54F"/>
    <w:multiLevelType w:val="multilevel"/>
    <w:tmpl w:val="B54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21C8"/>
    <w:multiLevelType w:val="multilevel"/>
    <w:tmpl w:val="633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BA2C25"/>
    <w:multiLevelType w:val="multilevel"/>
    <w:tmpl w:val="A39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78"/>
    <w:rsid w:val="003E4616"/>
    <w:rsid w:val="004D0D78"/>
    <w:rsid w:val="00A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783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802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1351950085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587352988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783115640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1235508352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</w:divsChild>
                </w:div>
              </w:divsChild>
            </w:div>
          </w:divsChild>
        </w:div>
        <w:div w:id="116971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1061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initiatives/gonococcal-antimicrobial-surveillance-program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2024-02-07T11:18:00Z</dcterms:created>
  <dcterms:modified xsi:type="dcterms:W3CDTF">2024-02-07T11:18:00Z</dcterms:modified>
</cp:coreProperties>
</file>